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楷体_GB2312" w:hAnsi="方正楷体_GB2312" w:eastAsia="方正楷体_GB2312" w:cs="方正楷体_GB2312"/>
          <w:sz w:val="36"/>
          <w:szCs w:val="36"/>
        </w:rPr>
      </w:pPr>
      <w:bookmarkStart w:id="0" w:name="_GoBack"/>
      <w:r>
        <w:rPr>
          <w:rFonts w:hint="eastAsia" w:ascii="方正楷体_GB2312" w:hAnsi="方正楷体_GB2312" w:eastAsia="方正楷体_GB2312" w:cs="方正楷体_GB2312"/>
          <w:sz w:val="36"/>
          <w:szCs w:val="36"/>
        </w:rPr>
        <w:t>华南农业大学植物</w:t>
      </w:r>
      <w:r>
        <w:rPr>
          <w:rFonts w:hint="eastAsia" w:ascii="方正楷体_GB2312" w:hAnsi="方正楷体_GB2312" w:eastAsia="方正楷体_GB2312" w:cs="方正楷体_GB2312"/>
          <w:sz w:val="36"/>
          <w:szCs w:val="36"/>
        </w:rPr>
        <w:t>保护学院</w:t>
      </w:r>
      <w:r>
        <w:rPr>
          <w:rFonts w:hint="eastAsia" w:ascii="方正楷体_GB2312" w:hAnsi="方正楷体_GB2312" w:eastAsia="方正楷体_GB2312" w:cs="方正楷体_GB2312"/>
          <w:sz w:val="36"/>
          <w:szCs w:val="36"/>
        </w:rPr>
        <w:t>本科生导师制</w:t>
      </w:r>
    </w:p>
    <w:p>
      <w:pPr>
        <w:spacing w:line="56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楷体_GB2312" w:hAnsi="方正楷体_GB2312" w:eastAsia="方正楷体_GB2312" w:cs="方正楷体_GB2312"/>
          <w:sz w:val="36"/>
          <w:szCs w:val="36"/>
        </w:rPr>
        <w:t>实施细则（试行）</w:t>
      </w:r>
      <w:bookmarkEnd w:id="0"/>
    </w:p>
    <w:p>
      <w:pPr>
        <w:spacing w:line="560" w:lineRule="exact"/>
        <w:jc w:val="center"/>
        <w:rPr>
          <w:rFonts w:ascii="方正小标宋简体" w:eastAsia="方正小标宋简体"/>
          <w:sz w:val="36"/>
          <w:szCs w:val="36"/>
        </w:rPr>
      </w:pPr>
    </w:p>
    <w:p>
      <w:pPr>
        <w:pStyle w:val="5"/>
        <w:shd w:val="clear" w:color="auto" w:fill="FFFFFF"/>
        <w:spacing w:beforeAutospacing="0" w:afterAutospacing="0" w:line="560" w:lineRule="exact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第一章 总则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第一条</w:t>
      </w:r>
      <w:r>
        <w:rPr>
          <w:rFonts w:hint="eastAsia" w:ascii="仿宋_GB2312" w:eastAsia="仿宋_GB2312"/>
          <w:sz w:val="32"/>
          <w:szCs w:val="32"/>
        </w:rPr>
        <w:t xml:space="preserve"> 为深入落实立德树人根本任务，扎实推进 “三全育人”工作，完善学生学业支持体系，发挥教师在人才培养中的主导作用和学生的主体作用，强化学生个性化培养，提高本科学生培养质量，根据《华南农业大学本科生导师制实施办法》等</w:t>
      </w:r>
      <w:r>
        <w:rPr>
          <w:rFonts w:ascii="仿宋_GB2312" w:eastAsia="仿宋_GB2312"/>
          <w:sz w:val="32"/>
          <w:szCs w:val="32"/>
        </w:rPr>
        <w:t>文件精神</w:t>
      </w:r>
      <w:r>
        <w:rPr>
          <w:rFonts w:hint="eastAsia" w:ascii="仿宋_GB2312" w:eastAsia="仿宋_GB2312"/>
          <w:sz w:val="32"/>
          <w:szCs w:val="32"/>
        </w:rPr>
        <w:t>，结合学院实际，特制定本细则。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 xml:space="preserve">第二条 </w:t>
      </w:r>
      <w:r>
        <w:rPr>
          <w:rFonts w:hint="eastAsia" w:ascii="仿宋_GB2312" w:eastAsia="仿宋_GB2312"/>
          <w:sz w:val="32"/>
          <w:szCs w:val="32"/>
        </w:rPr>
        <w:t>本科生导师制是指选聘本院专任教师担任本科生导师（以下简称导师），负责对学生的思想、学业和学术发展等进行指导的教学管理模式。</w:t>
      </w:r>
    </w:p>
    <w:p>
      <w:pPr>
        <w:pStyle w:val="5"/>
        <w:shd w:val="clear" w:color="auto" w:fill="FFFFFF"/>
        <w:spacing w:beforeAutospacing="0" w:afterAutospacing="0" w:line="560" w:lineRule="exact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第二章 </w:t>
      </w:r>
      <w:r>
        <w:rPr>
          <w:rFonts w:ascii="黑体" w:hAnsi="黑体" w:eastAsia="黑体"/>
          <w:sz w:val="32"/>
          <w:szCs w:val="32"/>
        </w:rPr>
        <w:t>导师任职资格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第三条</w:t>
      </w:r>
      <w:r>
        <w:rPr>
          <w:rFonts w:ascii="楷体_GB2312" w:eastAsia="楷体_GB2312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>全面贯彻党的教育方针，思想政治素质好，</w:t>
      </w:r>
      <w:r>
        <w:rPr>
          <w:rFonts w:hint="eastAsia" w:ascii="仿宋_GB2312" w:eastAsia="仿宋_GB2312"/>
          <w:sz w:val="32"/>
          <w:szCs w:val="32"/>
        </w:rPr>
        <w:t>爱岗敬业，</w:t>
      </w:r>
      <w:r>
        <w:rPr>
          <w:rFonts w:ascii="仿宋_GB2312" w:eastAsia="仿宋_GB2312"/>
          <w:sz w:val="32"/>
          <w:szCs w:val="32"/>
        </w:rPr>
        <w:t>为人师表，具有良好的师德师风。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第四</w:t>
      </w:r>
      <w:r>
        <w:rPr>
          <w:rFonts w:ascii="楷体_GB2312" w:eastAsia="楷体_GB2312"/>
          <w:sz w:val="32"/>
          <w:szCs w:val="32"/>
        </w:rPr>
        <w:t xml:space="preserve">条 </w:t>
      </w:r>
      <w:r>
        <w:rPr>
          <w:rFonts w:hint="eastAsia" w:ascii="仿宋_GB2312" w:eastAsia="仿宋_GB2312"/>
          <w:sz w:val="32"/>
          <w:szCs w:val="32"/>
        </w:rPr>
        <w:t>具有较强的工作责任心和奉献精神，</w:t>
      </w:r>
      <w:r>
        <w:rPr>
          <w:rFonts w:ascii="仿宋_GB2312" w:eastAsia="仿宋_GB2312"/>
          <w:sz w:val="32"/>
          <w:szCs w:val="32"/>
        </w:rPr>
        <w:t>严于律己，身心健康，关心关爱学生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第五条</w:t>
      </w:r>
      <w:r>
        <w:rPr>
          <w:rFonts w:ascii="楷体_GB2312" w:eastAsia="楷体_GB2312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>了解高等教育政策法规</w:t>
      </w:r>
      <w:r>
        <w:rPr>
          <w:rFonts w:hint="eastAsia" w:ascii="仿宋_GB2312" w:eastAsia="仿宋_GB2312"/>
          <w:sz w:val="32"/>
          <w:szCs w:val="32"/>
        </w:rPr>
        <w:t>和学生教育管理规章制度，</w:t>
      </w:r>
      <w:r>
        <w:rPr>
          <w:rFonts w:ascii="仿宋_GB2312" w:eastAsia="仿宋_GB2312"/>
          <w:sz w:val="32"/>
          <w:szCs w:val="32"/>
        </w:rPr>
        <w:t>掌握学生成长成才规律，熟悉专业人才培养方案。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第六条</w:t>
      </w:r>
      <w:r>
        <w:rPr>
          <w:rFonts w:ascii="楷体_GB2312" w:eastAsia="楷体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具有中级及以上职称的专任教师或具有博士学位的专任教师。</w:t>
      </w:r>
    </w:p>
    <w:p>
      <w:pPr>
        <w:pStyle w:val="5"/>
        <w:shd w:val="clear" w:color="auto" w:fill="FFFFFF"/>
        <w:spacing w:beforeAutospacing="0" w:afterAutospacing="0" w:line="560" w:lineRule="exact"/>
        <w:jc w:val="center"/>
        <w:rPr>
          <w:rFonts w:ascii="黑体" w:hAnsi="黑体" w:eastAsia="黑体" w:cs="宋体"/>
          <w:color w:val="000000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第三章 </w:t>
      </w:r>
      <w:r>
        <w:rPr>
          <w:rFonts w:hint="eastAsia" w:ascii="黑体" w:hAnsi="黑体" w:eastAsia="黑体" w:cs="宋体"/>
          <w:color w:val="000000"/>
          <w:sz w:val="32"/>
          <w:szCs w:val="32"/>
        </w:rPr>
        <w:t>导师工作职责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 xml:space="preserve">第七条 </w:t>
      </w:r>
      <w:r>
        <w:rPr>
          <w:rFonts w:ascii="仿宋_GB2312" w:eastAsia="仿宋_GB2312"/>
          <w:sz w:val="32"/>
          <w:szCs w:val="32"/>
        </w:rPr>
        <w:t>思想引领。以严谨求实的治学态度、追求卓越的学术精神和高尚的</w:t>
      </w:r>
      <w:r>
        <w:rPr>
          <w:rFonts w:hint="eastAsia" w:ascii="仿宋_GB2312" w:eastAsia="仿宋_GB2312"/>
          <w:sz w:val="32"/>
          <w:szCs w:val="32"/>
        </w:rPr>
        <w:t>职业道德</w:t>
      </w:r>
      <w:r>
        <w:rPr>
          <w:rFonts w:ascii="仿宋_GB2312" w:eastAsia="仿宋_GB2312"/>
          <w:sz w:val="32"/>
          <w:szCs w:val="32"/>
        </w:rPr>
        <w:t>言传身教、感染学生，引导学生养成良好的道德品质和行为习惯，帮助学生坚定理想信念</w:t>
      </w:r>
      <w:r>
        <w:rPr>
          <w:rFonts w:hint="eastAsia" w:ascii="仿宋_GB2312" w:eastAsia="仿宋_GB2312"/>
          <w:sz w:val="32"/>
          <w:szCs w:val="32"/>
        </w:rPr>
        <w:t>和专业</w:t>
      </w:r>
      <w:r>
        <w:rPr>
          <w:rFonts w:ascii="仿宋_GB2312" w:eastAsia="仿宋_GB2312"/>
          <w:sz w:val="32"/>
          <w:szCs w:val="32"/>
        </w:rPr>
        <w:t>思想，</w:t>
      </w:r>
      <w:r>
        <w:rPr>
          <w:rFonts w:hint="eastAsia" w:ascii="仿宋_GB2312" w:eastAsia="仿宋_GB2312"/>
          <w:sz w:val="32"/>
          <w:szCs w:val="32"/>
        </w:rPr>
        <w:t>培养</w:t>
      </w:r>
      <w:r>
        <w:fldChar w:fldCharType="begin"/>
      </w:r>
      <w:r>
        <w:instrText xml:space="preserve"> HYPERLINK "http://www.baidu.com/link?url=fJKL_Eo5hdGojfBzE-Nd_c8FN0j4Q9VKs64wGcOu3ZEQyo2hItD3EgUimBaK1N5603ZsJ1Vrheh0nbqJGLjRCbGeRFYJuF1KxXTC1Kf3uxK" \t "_blank" </w:instrText>
      </w:r>
      <w:r>
        <w:fldChar w:fldCharType="separate"/>
      </w:r>
      <w:r>
        <w:rPr>
          <w:rFonts w:ascii="仿宋_GB2312" w:eastAsia="仿宋_GB2312"/>
          <w:sz w:val="32"/>
          <w:szCs w:val="32"/>
        </w:rPr>
        <w:t>知农爱农强农兴农创新型人才</w:t>
      </w:r>
      <w:r>
        <w:rPr>
          <w:rFonts w:ascii="仿宋_GB2312" w:eastAsia="仿宋_GB2312"/>
          <w:sz w:val="32"/>
          <w:szCs w:val="32"/>
        </w:rPr>
        <w:fldChar w:fldCharType="end"/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第八条</w:t>
      </w: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>学业指导。</w:t>
      </w:r>
      <w:r>
        <w:rPr>
          <w:rFonts w:hint="eastAsia" w:ascii="仿宋_GB2312" w:eastAsia="仿宋_GB2312"/>
          <w:sz w:val="32"/>
          <w:szCs w:val="32"/>
        </w:rPr>
        <w:t>引导学生端正专业思想和学习态度，</w:t>
      </w:r>
      <w:r>
        <w:rPr>
          <w:rFonts w:ascii="仿宋_GB2312" w:eastAsia="仿宋_GB2312"/>
          <w:sz w:val="32"/>
          <w:szCs w:val="32"/>
        </w:rPr>
        <w:t>帮助学生制定合理的学业规划和学习计划，做好学业指导和帮扶</w:t>
      </w:r>
      <w:r>
        <w:rPr>
          <w:rFonts w:hint="eastAsia" w:ascii="仿宋_GB2312" w:eastAsia="仿宋_GB2312"/>
          <w:sz w:val="32"/>
          <w:szCs w:val="32"/>
        </w:rPr>
        <w:t>；指导和</w:t>
      </w:r>
      <w:r>
        <w:rPr>
          <w:rFonts w:ascii="仿宋_GB2312" w:eastAsia="仿宋_GB2312"/>
          <w:sz w:val="32"/>
          <w:szCs w:val="32"/>
        </w:rPr>
        <w:t>带领学生参加</w:t>
      </w:r>
      <w:r>
        <w:rPr>
          <w:rFonts w:hint="eastAsia" w:ascii="仿宋_GB2312" w:eastAsia="仿宋_GB2312"/>
          <w:sz w:val="32"/>
          <w:szCs w:val="32"/>
        </w:rPr>
        <w:t>导师</w:t>
      </w:r>
      <w:r>
        <w:rPr>
          <w:rFonts w:ascii="仿宋_GB2312" w:eastAsia="仿宋_GB2312"/>
          <w:sz w:val="32"/>
          <w:szCs w:val="32"/>
        </w:rPr>
        <w:t>的</w:t>
      </w:r>
      <w:r>
        <w:rPr>
          <w:rFonts w:hint="eastAsia" w:ascii="仿宋_GB2312" w:eastAsia="仿宋_GB2312"/>
          <w:sz w:val="32"/>
          <w:szCs w:val="32"/>
        </w:rPr>
        <w:t>有关研究，</w:t>
      </w:r>
      <w:r>
        <w:rPr>
          <w:rFonts w:ascii="仿宋_GB2312" w:eastAsia="仿宋_GB2312"/>
          <w:sz w:val="32"/>
          <w:szCs w:val="32"/>
        </w:rPr>
        <w:t>深化学生对专业的认知与理解，让学生了解专业前沿信息和发展趋势，拓宽视野</w:t>
      </w:r>
      <w:r>
        <w:rPr>
          <w:rFonts w:hint="eastAsia" w:ascii="仿宋_GB2312" w:eastAsia="仿宋_GB2312"/>
          <w:sz w:val="32"/>
          <w:szCs w:val="32"/>
        </w:rPr>
        <w:t>；</w:t>
      </w:r>
      <w:r>
        <w:rPr>
          <w:rFonts w:ascii="仿宋_GB2312" w:eastAsia="仿宋_GB2312"/>
          <w:sz w:val="32"/>
          <w:szCs w:val="32"/>
        </w:rPr>
        <w:t>根据学生的特点、个性和志向，指导学生选课和合理安排学习进程</w:t>
      </w:r>
      <w:r>
        <w:rPr>
          <w:rFonts w:hint="eastAsia" w:ascii="仿宋_GB2312" w:eastAsia="仿宋_GB2312"/>
          <w:sz w:val="32"/>
          <w:szCs w:val="32"/>
        </w:rPr>
        <w:t>，帮助学生解决学习方面的实际</w:t>
      </w:r>
      <w:r>
        <w:rPr>
          <w:rFonts w:ascii="仿宋_GB2312" w:eastAsia="仿宋_GB2312"/>
          <w:sz w:val="32"/>
          <w:szCs w:val="32"/>
        </w:rPr>
        <w:t>困难和</w:t>
      </w:r>
      <w:r>
        <w:rPr>
          <w:rFonts w:hint="eastAsia" w:ascii="仿宋_GB2312" w:eastAsia="仿宋_GB2312"/>
          <w:sz w:val="32"/>
          <w:szCs w:val="32"/>
        </w:rPr>
        <w:t>问题，促进学生知识、能力、素质协调发展。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第九条</w:t>
      </w: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>学术引导。培养</w:t>
      </w:r>
      <w:r>
        <w:rPr>
          <w:rFonts w:hint="eastAsia" w:ascii="仿宋_GB2312" w:eastAsia="仿宋_GB2312"/>
          <w:sz w:val="32"/>
          <w:szCs w:val="32"/>
        </w:rPr>
        <w:t>学生</w:t>
      </w:r>
      <w:r>
        <w:rPr>
          <w:rFonts w:ascii="仿宋_GB2312" w:eastAsia="仿宋_GB2312"/>
          <w:sz w:val="32"/>
          <w:szCs w:val="32"/>
        </w:rPr>
        <w:t>学术兴趣</w:t>
      </w:r>
      <w:r>
        <w:rPr>
          <w:rFonts w:hint="eastAsia" w:ascii="仿宋_GB2312" w:eastAsia="仿宋_GB2312"/>
          <w:sz w:val="32"/>
          <w:szCs w:val="32"/>
        </w:rPr>
        <w:t>，每学期</w:t>
      </w:r>
      <w:r>
        <w:rPr>
          <w:rFonts w:ascii="仿宋_GB2312" w:eastAsia="仿宋_GB2312"/>
          <w:sz w:val="32"/>
          <w:szCs w:val="32"/>
        </w:rPr>
        <w:t>组织学生参加研究生学术沙龙、科研课题研讨等活动</w:t>
      </w:r>
      <w:r>
        <w:rPr>
          <w:rFonts w:hint="eastAsia" w:ascii="仿宋_GB2312" w:eastAsia="仿宋_GB2312"/>
          <w:sz w:val="32"/>
          <w:szCs w:val="32"/>
        </w:rPr>
        <w:t>不少于2次</w:t>
      </w:r>
      <w:r>
        <w:rPr>
          <w:rFonts w:ascii="仿宋_GB2312" w:eastAsia="仿宋_GB2312"/>
          <w:sz w:val="32"/>
          <w:szCs w:val="32"/>
        </w:rPr>
        <w:t>。指导学生开展文献检索、资料查询、文献综述等工作</w:t>
      </w:r>
      <w:r>
        <w:rPr>
          <w:rFonts w:hint="eastAsia" w:ascii="仿宋_GB2312" w:eastAsia="仿宋_GB2312"/>
          <w:sz w:val="32"/>
          <w:szCs w:val="32"/>
        </w:rPr>
        <w:t>，</w:t>
      </w:r>
      <w:r>
        <w:rPr>
          <w:rFonts w:ascii="仿宋_GB2312" w:eastAsia="仿宋_GB2312"/>
          <w:sz w:val="32"/>
          <w:szCs w:val="32"/>
        </w:rPr>
        <w:t>为</w:t>
      </w:r>
      <w:r>
        <w:rPr>
          <w:rFonts w:hint="eastAsia" w:ascii="仿宋_GB2312" w:eastAsia="仿宋_GB2312"/>
          <w:sz w:val="32"/>
          <w:szCs w:val="32"/>
        </w:rPr>
        <w:t>学生学科竞赛</w:t>
      </w:r>
      <w:r>
        <w:rPr>
          <w:rFonts w:ascii="仿宋_GB2312" w:eastAsia="仿宋_GB2312"/>
          <w:sz w:val="32"/>
          <w:szCs w:val="32"/>
        </w:rPr>
        <w:t>、</w:t>
      </w:r>
      <w:r>
        <w:rPr>
          <w:rFonts w:hint="eastAsia" w:ascii="仿宋_GB2312" w:eastAsia="仿宋_GB2312"/>
          <w:sz w:val="32"/>
          <w:szCs w:val="32"/>
        </w:rPr>
        <w:t>挑战杯和“</w:t>
      </w:r>
      <w:r>
        <w:rPr>
          <w:rFonts w:ascii="仿宋_GB2312" w:eastAsia="仿宋_GB2312"/>
          <w:sz w:val="32"/>
          <w:szCs w:val="32"/>
        </w:rPr>
        <w:t>互联网+</w:t>
      </w:r>
      <w:r>
        <w:rPr>
          <w:rFonts w:hint="eastAsia" w:ascii="仿宋_GB2312" w:eastAsia="仿宋_GB2312"/>
          <w:sz w:val="32"/>
          <w:szCs w:val="32"/>
        </w:rPr>
        <w:t>”等创新</w:t>
      </w:r>
      <w:r>
        <w:rPr>
          <w:rFonts w:ascii="仿宋_GB2312" w:eastAsia="仿宋_GB2312"/>
          <w:sz w:val="32"/>
          <w:szCs w:val="32"/>
        </w:rPr>
        <w:t>创业</w:t>
      </w:r>
      <w:r>
        <w:rPr>
          <w:rFonts w:hint="eastAsia" w:ascii="仿宋_GB2312" w:eastAsia="仿宋_GB2312"/>
          <w:sz w:val="32"/>
          <w:szCs w:val="32"/>
        </w:rPr>
        <w:t>活动</w:t>
      </w:r>
      <w:r>
        <w:rPr>
          <w:rFonts w:ascii="仿宋_GB2312" w:eastAsia="仿宋_GB2312"/>
          <w:sz w:val="32"/>
          <w:szCs w:val="32"/>
        </w:rPr>
        <w:t>创造条件。鼓励有条件的导师吸纳学生成为科研助手</w:t>
      </w:r>
      <w:r>
        <w:rPr>
          <w:rFonts w:hint="eastAsia" w:ascii="仿宋_GB2312" w:eastAsia="仿宋_GB2312"/>
          <w:sz w:val="32"/>
          <w:szCs w:val="32"/>
        </w:rPr>
        <w:t>（助理）</w:t>
      </w:r>
      <w:r>
        <w:rPr>
          <w:rFonts w:ascii="仿宋_GB2312" w:eastAsia="仿宋_GB2312"/>
          <w:sz w:val="32"/>
          <w:szCs w:val="32"/>
        </w:rPr>
        <w:t>，创造条件让学生早进团队、早进课题、早进实验室</w:t>
      </w:r>
      <w:r>
        <w:rPr>
          <w:rFonts w:hint="eastAsia" w:ascii="仿宋_GB2312" w:eastAsia="仿宋_GB2312"/>
          <w:sz w:val="32"/>
          <w:szCs w:val="32"/>
        </w:rPr>
        <w:t>，</w:t>
      </w:r>
      <w:r>
        <w:rPr>
          <w:rFonts w:ascii="仿宋_GB2312" w:eastAsia="仿宋_GB2312"/>
          <w:sz w:val="32"/>
          <w:szCs w:val="32"/>
        </w:rPr>
        <w:t>激发</w:t>
      </w:r>
      <w:r>
        <w:rPr>
          <w:rFonts w:hint="eastAsia" w:ascii="仿宋_GB2312" w:eastAsia="仿宋_GB2312"/>
          <w:sz w:val="32"/>
          <w:szCs w:val="32"/>
        </w:rPr>
        <w:t>学生</w:t>
      </w:r>
      <w:r>
        <w:rPr>
          <w:rFonts w:ascii="仿宋_GB2312" w:eastAsia="仿宋_GB2312"/>
          <w:sz w:val="32"/>
          <w:szCs w:val="32"/>
        </w:rPr>
        <w:t>的创新潜能</w:t>
      </w:r>
      <w:r>
        <w:rPr>
          <w:rFonts w:hint="eastAsia" w:ascii="仿宋_GB2312" w:eastAsia="仿宋_GB2312"/>
          <w:sz w:val="32"/>
          <w:szCs w:val="32"/>
        </w:rPr>
        <w:t>，进一步提升学生升学</w:t>
      </w:r>
      <w:r>
        <w:rPr>
          <w:rFonts w:ascii="仿宋_GB2312" w:eastAsia="仿宋_GB2312"/>
          <w:sz w:val="32"/>
          <w:szCs w:val="32"/>
        </w:rPr>
        <w:t>率和</w:t>
      </w:r>
      <w:r>
        <w:rPr>
          <w:rFonts w:hint="eastAsia" w:ascii="仿宋_GB2312" w:eastAsia="仿宋_GB2312"/>
          <w:sz w:val="32"/>
          <w:szCs w:val="32"/>
        </w:rPr>
        <w:t>升学质量</w:t>
      </w:r>
      <w:r>
        <w:rPr>
          <w:rFonts w:ascii="仿宋_GB2312" w:eastAsia="仿宋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 xml:space="preserve">第十条 </w:t>
      </w:r>
      <w:r>
        <w:rPr>
          <w:rFonts w:ascii="仿宋_GB2312" w:eastAsia="仿宋_GB2312"/>
          <w:sz w:val="32"/>
          <w:szCs w:val="32"/>
        </w:rPr>
        <w:t>深度交流。导师可采取多样的方式与学生交流互动、指导学生。导师每学期开学初应与学生见面，每</w:t>
      </w:r>
      <w:r>
        <w:rPr>
          <w:rFonts w:hint="eastAsia" w:ascii="仿宋_GB2312" w:eastAsia="仿宋_GB2312"/>
          <w:sz w:val="32"/>
          <w:szCs w:val="32"/>
        </w:rPr>
        <w:t>学期</w:t>
      </w:r>
      <w:r>
        <w:rPr>
          <w:rFonts w:ascii="仿宋_GB2312" w:eastAsia="仿宋_GB2312"/>
          <w:sz w:val="32"/>
          <w:szCs w:val="32"/>
        </w:rPr>
        <w:t>一对一、面对面指导交流不少于2次。</w:t>
      </w:r>
      <w:r>
        <w:rPr>
          <w:rFonts w:hint="eastAsia" w:ascii="仿宋_GB2312" w:eastAsia="仿宋_GB2312"/>
          <w:sz w:val="32"/>
          <w:szCs w:val="32"/>
        </w:rPr>
        <w:t>构建导师</w:t>
      </w:r>
      <w:r>
        <w:rPr>
          <w:rFonts w:ascii="仿宋_GB2312" w:eastAsia="仿宋_GB2312"/>
          <w:sz w:val="32"/>
          <w:szCs w:val="32"/>
        </w:rPr>
        <w:t>与</w:t>
      </w:r>
      <w:r>
        <w:rPr>
          <w:rFonts w:hint="eastAsia" w:ascii="仿宋_GB2312" w:eastAsia="仿宋_GB2312"/>
          <w:sz w:val="32"/>
          <w:szCs w:val="32"/>
        </w:rPr>
        <w:t>班主任、辅导员协同</w:t>
      </w:r>
      <w:r>
        <w:rPr>
          <w:rFonts w:ascii="仿宋_GB2312" w:eastAsia="仿宋_GB2312"/>
          <w:sz w:val="32"/>
          <w:szCs w:val="32"/>
        </w:rPr>
        <w:t>育人</w:t>
      </w:r>
      <w:r>
        <w:rPr>
          <w:rFonts w:hint="eastAsia" w:ascii="仿宋_GB2312" w:eastAsia="仿宋_GB2312"/>
          <w:sz w:val="32"/>
          <w:szCs w:val="32"/>
        </w:rPr>
        <w:t>机制，汇聚育人合力。</w:t>
      </w:r>
    </w:p>
    <w:p>
      <w:pPr>
        <w:snapToGrid w:val="0"/>
        <w:spacing w:line="560" w:lineRule="exact"/>
        <w:ind w:firstLine="640" w:firstLineChars="200"/>
        <w:rPr>
          <w:rFonts w:ascii="仿宋_GB2312" w:eastAsia="仿宋_GB2312"/>
          <w:bCs/>
          <w:kern w:val="0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第十一条</w:t>
      </w:r>
      <w:r>
        <w:rPr>
          <w:rFonts w:hint="eastAsia" w:ascii="仿宋_GB2312" w:eastAsia="仿宋_GB2312"/>
          <w:sz w:val="32"/>
          <w:szCs w:val="32"/>
        </w:rPr>
        <w:t xml:space="preserve"> 导师</w:t>
      </w:r>
      <w:r>
        <w:rPr>
          <w:rFonts w:hint="eastAsia" w:ascii="仿宋_GB2312" w:eastAsia="仿宋_GB2312"/>
          <w:bCs/>
          <w:kern w:val="0"/>
          <w:sz w:val="32"/>
          <w:szCs w:val="32"/>
        </w:rPr>
        <w:t>要通过</w:t>
      </w:r>
      <w:r>
        <w:rPr>
          <w:rFonts w:ascii="仿宋_GB2312" w:eastAsia="仿宋_GB2312"/>
          <w:bCs/>
          <w:kern w:val="0"/>
          <w:sz w:val="32"/>
          <w:szCs w:val="32"/>
        </w:rPr>
        <w:t>《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植物保护学院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本科生导师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工作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手册</w:t>
      </w:r>
      <w:r>
        <w:rPr>
          <w:rFonts w:ascii="仿宋_GB2312" w:eastAsia="仿宋_GB2312"/>
          <w:bCs/>
          <w:kern w:val="0"/>
          <w:sz w:val="32"/>
          <w:szCs w:val="32"/>
        </w:rPr>
        <w:t>》</w:t>
      </w:r>
      <w:r>
        <w:rPr>
          <w:rFonts w:hint="eastAsia" w:ascii="仿宋_GB2312" w:eastAsia="仿宋_GB2312"/>
          <w:bCs/>
          <w:kern w:val="0"/>
          <w:sz w:val="32"/>
          <w:szCs w:val="32"/>
        </w:rPr>
        <w:t>做好工作</w:t>
      </w:r>
      <w:r>
        <w:rPr>
          <w:rFonts w:ascii="仿宋_GB2312" w:eastAsia="仿宋_GB2312"/>
          <w:bCs/>
          <w:kern w:val="0"/>
          <w:sz w:val="32"/>
          <w:szCs w:val="32"/>
        </w:rPr>
        <w:t>记录</w:t>
      </w:r>
      <w:r>
        <w:rPr>
          <w:rFonts w:hint="eastAsia" w:ascii="仿宋_GB2312" w:eastAsia="仿宋_GB2312"/>
          <w:bCs/>
          <w:kern w:val="0"/>
          <w:sz w:val="32"/>
          <w:szCs w:val="32"/>
        </w:rPr>
        <w:t>，</w:t>
      </w:r>
      <w:r>
        <w:rPr>
          <w:rFonts w:ascii="仿宋_GB2312" w:eastAsia="仿宋_GB2312"/>
          <w:sz w:val="32"/>
          <w:szCs w:val="32"/>
        </w:rPr>
        <w:t>及时总结分析</w:t>
      </w:r>
      <w:r>
        <w:rPr>
          <w:rFonts w:hint="eastAsia" w:ascii="仿宋_GB2312" w:eastAsia="仿宋_GB2312"/>
          <w:sz w:val="32"/>
          <w:szCs w:val="32"/>
        </w:rPr>
        <w:t>，提升</w:t>
      </w:r>
      <w:r>
        <w:rPr>
          <w:rFonts w:ascii="仿宋_GB2312" w:eastAsia="仿宋_GB2312"/>
          <w:sz w:val="32"/>
          <w:szCs w:val="32"/>
        </w:rPr>
        <w:t>育人绩效</w:t>
      </w:r>
      <w:r>
        <w:rPr>
          <w:rFonts w:hint="eastAsia" w:ascii="仿宋_GB2312" w:eastAsia="仿宋_GB2312"/>
          <w:sz w:val="32"/>
          <w:szCs w:val="32"/>
        </w:rPr>
        <w:t>，</w:t>
      </w:r>
      <w:r>
        <w:rPr>
          <w:rFonts w:hint="eastAsia" w:ascii="仿宋_GB2312" w:eastAsia="仿宋_GB2312"/>
          <w:bCs/>
          <w:kern w:val="0"/>
          <w:sz w:val="32"/>
          <w:szCs w:val="32"/>
        </w:rPr>
        <w:t>每学期末将记录和学期工作总结报送学院。</w:t>
      </w:r>
    </w:p>
    <w:p>
      <w:pPr>
        <w:spacing w:line="560" w:lineRule="exact"/>
        <w:jc w:val="center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第四章 导师配备与选聘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第十二条</w:t>
      </w: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>凡是符合导师任职资格的，均应承担导师工作。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 xml:space="preserve">第十三条 </w:t>
      </w:r>
      <w:r>
        <w:rPr>
          <w:rFonts w:hint="eastAsia" w:ascii="仿宋_GB2312" w:eastAsia="仿宋_GB2312"/>
          <w:sz w:val="32"/>
          <w:szCs w:val="32"/>
        </w:rPr>
        <w:t>本科生导师保持相对稳定，原则上指导学生至毕业，同时</w:t>
      </w:r>
      <w:r>
        <w:rPr>
          <w:rFonts w:ascii="仿宋_GB2312" w:eastAsia="仿宋_GB2312"/>
          <w:sz w:val="32"/>
          <w:szCs w:val="32"/>
        </w:rPr>
        <w:t>原则上</w:t>
      </w:r>
      <w:r>
        <w:rPr>
          <w:rFonts w:hint="eastAsia" w:ascii="仿宋_GB2312" w:eastAsia="仿宋_GB2312"/>
          <w:sz w:val="32"/>
          <w:szCs w:val="32"/>
        </w:rPr>
        <w:t>指导学生的</w:t>
      </w:r>
      <w:r>
        <w:rPr>
          <w:rFonts w:ascii="仿宋_GB2312" w:eastAsia="仿宋_GB2312"/>
          <w:sz w:val="32"/>
          <w:szCs w:val="32"/>
        </w:rPr>
        <w:t>毕业论文</w:t>
      </w:r>
      <w:r>
        <w:rPr>
          <w:rFonts w:hint="eastAsia" w:ascii="仿宋_GB2312" w:eastAsia="仿宋_GB2312"/>
          <w:sz w:val="32"/>
          <w:szCs w:val="32"/>
        </w:rPr>
        <w:t>。</w:t>
      </w:r>
      <w:r>
        <w:rPr>
          <w:rFonts w:ascii="仿宋_GB2312" w:eastAsia="仿宋_GB2312"/>
          <w:sz w:val="32"/>
          <w:szCs w:val="32"/>
        </w:rPr>
        <w:t>每位导师指导每个年级的学生数</w:t>
      </w:r>
      <w:r>
        <w:rPr>
          <w:rFonts w:hint="eastAsia" w:ascii="仿宋_GB2312" w:eastAsia="仿宋_GB2312"/>
          <w:sz w:val="32"/>
          <w:szCs w:val="32"/>
        </w:rPr>
        <w:t>原则上</w:t>
      </w:r>
      <w:r>
        <w:rPr>
          <w:rFonts w:ascii="仿宋_GB2312" w:eastAsia="仿宋_GB2312"/>
          <w:sz w:val="32"/>
          <w:szCs w:val="32"/>
        </w:rPr>
        <w:t>不超过</w:t>
      </w:r>
      <w:r>
        <w:rPr>
          <w:rFonts w:hint="eastAsia" w:ascii="仿宋_GB2312" w:eastAsia="仿宋_GB2312"/>
          <w:sz w:val="32"/>
          <w:szCs w:val="32"/>
        </w:rPr>
        <w:t>3</w:t>
      </w:r>
      <w:r>
        <w:rPr>
          <w:rFonts w:ascii="仿宋_GB2312" w:eastAsia="仿宋_GB2312"/>
          <w:sz w:val="32"/>
          <w:szCs w:val="32"/>
        </w:rPr>
        <w:t>名</w:t>
      </w:r>
      <w:r>
        <w:rPr>
          <w:rFonts w:hint="eastAsia" w:ascii="仿宋_GB2312" w:eastAsia="仿宋_GB2312"/>
          <w:sz w:val="32"/>
          <w:szCs w:val="32"/>
        </w:rPr>
        <w:t>，导师指导可采取个别指导、团队指导等方式进行。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 xml:space="preserve">第十四条 </w:t>
      </w:r>
      <w:r>
        <w:rPr>
          <w:rFonts w:hint="eastAsia" w:ascii="仿宋_GB2312" w:eastAsia="仿宋_GB2312"/>
          <w:sz w:val="32"/>
          <w:szCs w:val="32"/>
        </w:rPr>
        <w:t>采取</w:t>
      </w:r>
      <w:r>
        <w:rPr>
          <w:rFonts w:ascii="仿宋_GB2312" w:eastAsia="仿宋_GB2312"/>
          <w:sz w:val="32"/>
          <w:szCs w:val="32"/>
        </w:rPr>
        <w:t>双向选择</w:t>
      </w:r>
      <w:r>
        <w:rPr>
          <w:rFonts w:hint="eastAsia" w:ascii="仿宋_GB2312" w:eastAsia="仿宋_GB2312"/>
          <w:sz w:val="32"/>
          <w:szCs w:val="32"/>
        </w:rPr>
        <w:t>与统筹分配</w:t>
      </w:r>
      <w:r>
        <w:rPr>
          <w:rFonts w:ascii="仿宋_GB2312" w:eastAsia="仿宋_GB2312"/>
          <w:sz w:val="32"/>
          <w:szCs w:val="32"/>
        </w:rPr>
        <w:t>相结合的方式</w:t>
      </w:r>
      <w:r>
        <w:rPr>
          <w:rFonts w:hint="eastAsia" w:ascii="仿宋_GB2312" w:eastAsia="仿宋_GB2312"/>
          <w:sz w:val="32"/>
          <w:szCs w:val="32"/>
        </w:rPr>
        <w:t>选择导师</w:t>
      </w:r>
      <w:r>
        <w:rPr>
          <w:rFonts w:ascii="仿宋_GB2312" w:eastAsia="仿宋_GB2312"/>
          <w:sz w:val="32"/>
          <w:szCs w:val="32"/>
        </w:rPr>
        <w:t>。</w:t>
      </w:r>
      <w:r>
        <w:rPr>
          <w:rFonts w:hint="eastAsia" w:ascii="仿宋_GB2312" w:eastAsia="仿宋_GB2312"/>
          <w:sz w:val="32"/>
          <w:szCs w:val="32"/>
        </w:rPr>
        <w:t>原则上在本科新生入学后第</w:t>
      </w:r>
      <w:r>
        <w:rPr>
          <w:rFonts w:ascii="仿宋_GB2312" w:eastAsia="仿宋_GB2312"/>
          <w:sz w:val="32"/>
          <w:szCs w:val="32"/>
        </w:rPr>
        <w:t>4</w:t>
      </w:r>
      <w:r>
        <w:rPr>
          <w:rFonts w:hint="eastAsia" w:ascii="仿宋_GB2312" w:eastAsia="仿宋_GB2312"/>
          <w:sz w:val="32"/>
          <w:szCs w:val="32"/>
        </w:rPr>
        <w:t>周前确定导师人选，并</w:t>
      </w:r>
      <w:r>
        <w:rPr>
          <w:rFonts w:ascii="仿宋_GB2312" w:eastAsia="仿宋_GB2312"/>
          <w:sz w:val="32"/>
          <w:szCs w:val="32"/>
        </w:rPr>
        <w:t>报本科生院报备。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 xml:space="preserve">第十五条 </w:t>
      </w:r>
      <w:r>
        <w:rPr>
          <w:rFonts w:hint="eastAsia" w:ascii="仿宋_GB2312" w:eastAsia="仿宋_GB2312"/>
          <w:sz w:val="32"/>
          <w:szCs w:val="32"/>
        </w:rPr>
        <w:t>导师在任期内如因进修或工作变动等原因不能继续指导，</w:t>
      </w:r>
      <w:r>
        <w:rPr>
          <w:rFonts w:ascii="仿宋_GB2312" w:eastAsia="仿宋_GB2312"/>
          <w:sz w:val="32"/>
          <w:szCs w:val="32"/>
        </w:rPr>
        <w:t>或者学生学籍异动等原因，</w:t>
      </w:r>
      <w:r>
        <w:rPr>
          <w:rFonts w:hint="eastAsia" w:ascii="仿宋_GB2312" w:eastAsia="仿宋_GB2312"/>
          <w:sz w:val="32"/>
          <w:szCs w:val="32"/>
        </w:rPr>
        <w:t>学院将更换导师。</w:t>
      </w:r>
    </w:p>
    <w:p>
      <w:pPr>
        <w:spacing w:line="560" w:lineRule="exact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第五章 本科学生的要求</w:t>
      </w:r>
    </w:p>
    <w:p>
      <w:pPr>
        <w:widowControl/>
        <w:shd w:val="clear" w:color="auto" w:fill="FFFFFF"/>
        <w:spacing w:line="560" w:lineRule="exact"/>
        <w:ind w:firstLine="645"/>
        <w:jc w:val="left"/>
        <w:rPr>
          <w:rFonts w:ascii="å¯°î†¿è’‹é—†å‘´ç²¦" w:hAnsi="宋体" w:eastAsia="å¯°î†¿è’‹é—†å‘´ç²¦" w:cs="宋体"/>
          <w:color w:val="000000"/>
          <w:kern w:val="0"/>
          <w:sz w:val="18"/>
          <w:szCs w:val="18"/>
        </w:rPr>
      </w:pPr>
      <w:r>
        <w:rPr>
          <w:rFonts w:hint="eastAsia" w:ascii="楷体_GB2312" w:eastAsia="楷体_GB2312"/>
          <w:sz w:val="32"/>
          <w:szCs w:val="32"/>
        </w:rPr>
        <w:t xml:space="preserve">第十六条 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尊敬师长，尊重导师，积极主动与导师联系沟通、寻求导师的指导和帮助。</w:t>
      </w:r>
    </w:p>
    <w:p>
      <w:pPr>
        <w:widowControl/>
        <w:shd w:val="clear" w:color="auto" w:fill="FFFFFF"/>
        <w:spacing w:line="560" w:lineRule="exact"/>
        <w:ind w:firstLine="645"/>
        <w:jc w:val="left"/>
        <w:rPr>
          <w:rFonts w:ascii="å¯°î†¿è’‹é—†å‘´ç²¦" w:hAnsi="宋体" w:eastAsia="å¯°î†¿è’‹é—†å‘´ç²¦" w:cs="宋体"/>
          <w:color w:val="000000"/>
          <w:kern w:val="0"/>
          <w:sz w:val="18"/>
          <w:szCs w:val="18"/>
        </w:rPr>
      </w:pPr>
      <w:r>
        <w:rPr>
          <w:rFonts w:hint="eastAsia" w:ascii="楷体_GB2312" w:eastAsia="楷体_GB2312"/>
          <w:sz w:val="32"/>
          <w:szCs w:val="32"/>
        </w:rPr>
        <w:t xml:space="preserve">第十七条 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根据导师的意见，结合个人实际，制定学业学习计划，积极参加导师所组织或建议的学术活动。</w:t>
      </w:r>
    </w:p>
    <w:p>
      <w:pPr>
        <w:widowControl/>
        <w:shd w:val="clear" w:color="auto" w:fill="FFFFFF"/>
        <w:spacing w:line="560" w:lineRule="exact"/>
        <w:ind w:firstLine="645"/>
        <w:jc w:val="left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 xml:space="preserve">第十八条 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自觉做好个人学习成长记录和阶段性总结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，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及时在《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植物保护学院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本科生导师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制度学生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手册》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中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填写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，客观、公正地对导师的指导情况进行评议。</w:t>
      </w:r>
    </w:p>
    <w:p>
      <w:pPr>
        <w:spacing w:line="560" w:lineRule="exact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第六章</w:t>
      </w:r>
      <w:r>
        <w:rPr>
          <w:rFonts w:ascii="黑体" w:hAnsi="黑体" w:eastAsia="黑体"/>
          <w:sz w:val="32"/>
          <w:szCs w:val="32"/>
        </w:rPr>
        <w:t xml:space="preserve"> 导师管理与</w:t>
      </w:r>
      <w:r>
        <w:rPr>
          <w:rFonts w:hint="eastAsia" w:ascii="黑体" w:hAnsi="黑体" w:eastAsia="黑体"/>
          <w:sz w:val="32"/>
          <w:szCs w:val="32"/>
        </w:rPr>
        <w:t>评优</w:t>
      </w:r>
    </w:p>
    <w:p>
      <w:pPr>
        <w:spacing w:line="560" w:lineRule="exact"/>
        <w:ind w:firstLine="640" w:firstLineChars="200"/>
        <w:rPr>
          <w:rFonts w:ascii="仿宋_GB2312" w:eastAsia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楷体_GB2312" w:eastAsia="楷体_GB2312"/>
          <w:sz w:val="32"/>
          <w:szCs w:val="32"/>
        </w:rPr>
        <w:t xml:space="preserve">第十九条 </w:t>
      </w:r>
      <w:r>
        <w:rPr>
          <w:rFonts w:hint="eastAsia" w:ascii="仿宋_GB2312" w:eastAsia="仿宋_GB2312"/>
          <w:color w:val="000000"/>
          <w:sz w:val="32"/>
          <w:szCs w:val="32"/>
          <w:shd w:val="clear" w:color="auto" w:fill="FFFFFF"/>
        </w:rPr>
        <w:t>学院成立导师工作领导小组，负责日常管理和</w:t>
      </w:r>
      <w:r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评优等工作</w:t>
      </w:r>
      <w:r>
        <w:rPr>
          <w:rFonts w:hint="eastAsia" w:ascii="仿宋_GB2312" w:eastAsia="仿宋_GB2312"/>
          <w:color w:val="000000"/>
          <w:sz w:val="32"/>
          <w:szCs w:val="32"/>
          <w:shd w:val="clear" w:color="auto" w:fill="FFFFFF"/>
        </w:rPr>
        <w:t>。成员</w:t>
      </w:r>
      <w:r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组成如下</w:t>
      </w:r>
      <w:r>
        <w:rPr>
          <w:rFonts w:hint="eastAsia" w:ascii="仿宋_GB2312" w:eastAsia="仿宋_GB2312"/>
          <w:color w:val="000000"/>
          <w:sz w:val="32"/>
          <w:szCs w:val="32"/>
          <w:shd w:val="clear" w:color="auto" w:fill="FFFFFF"/>
        </w:rPr>
        <w:t>：</w:t>
      </w:r>
    </w:p>
    <w:p>
      <w:pPr>
        <w:spacing w:line="560" w:lineRule="exact"/>
        <w:ind w:firstLine="640" w:firstLineChars="200"/>
        <w:rPr>
          <w:rFonts w:ascii="仿宋_GB2312" w:eastAsia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color w:val="000000"/>
          <w:sz w:val="32"/>
          <w:szCs w:val="32"/>
          <w:shd w:val="clear" w:color="auto" w:fill="FFFFFF"/>
        </w:rPr>
        <w:t>组  长：学院</w:t>
      </w:r>
      <w:r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党委书记</w:t>
      </w:r>
      <w:r>
        <w:rPr>
          <w:rFonts w:hint="eastAsia" w:ascii="仿宋_GB2312" w:eastAsia="仿宋_GB2312"/>
          <w:color w:val="000000"/>
          <w:sz w:val="32"/>
          <w:szCs w:val="32"/>
          <w:shd w:val="clear" w:color="auto" w:fill="FFFFFF"/>
        </w:rPr>
        <w:t>、院长</w:t>
      </w:r>
    </w:p>
    <w:p>
      <w:pPr>
        <w:spacing w:line="560" w:lineRule="exact"/>
        <w:ind w:firstLine="640" w:firstLineChars="200"/>
        <w:rPr>
          <w:rFonts w:ascii="仿宋_GB2312" w:eastAsia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color w:val="000000"/>
          <w:sz w:val="32"/>
          <w:szCs w:val="32"/>
          <w:shd w:val="clear" w:color="auto" w:fill="FFFFFF"/>
        </w:rPr>
        <w:t>副组长</w:t>
      </w:r>
      <w:r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：</w:t>
      </w:r>
      <w:r>
        <w:rPr>
          <w:rFonts w:hint="eastAsia" w:ascii="仿宋_GB2312" w:eastAsia="仿宋_GB2312"/>
          <w:color w:val="000000"/>
          <w:sz w:val="32"/>
          <w:szCs w:val="32"/>
          <w:shd w:val="clear" w:color="auto" w:fill="FFFFFF"/>
        </w:rPr>
        <w:t>学院分管学生工作的副书记、分管教学工作的副院长</w:t>
      </w:r>
    </w:p>
    <w:p>
      <w:pPr>
        <w:spacing w:line="560" w:lineRule="exact"/>
        <w:ind w:firstLine="640" w:firstLineChars="200"/>
        <w:rPr>
          <w:rFonts w:ascii="仿宋_GB2312" w:eastAsia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color w:val="000000"/>
          <w:sz w:val="32"/>
          <w:szCs w:val="32"/>
          <w:shd w:val="clear" w:color="auto" w:fill="FFFFFF"/>
        </w:rPr>
        <w:t>成  员：</w:t>
      </w:r>
      <w:r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各系</w:t>
      </w:r>
      <w:r>
        <w:rPr>
          <w:rFonts w:hint="eastAsia" w:ascii="仿宋_GB2312" w:eastAsia="仿宋_GB2312"/>
          <w:color w:val="000000"/>
          <w:sz w:val="32"/>
          <w:szCs w:val="32"/>
          <w:shd w:val="clear" w:color="auto" w:fill="FFFFFF"/>
        </w:rPr>
        <w:t>（中心）</w:t>
      </w:r>
      <w:r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主任</w:t>
      </w:r>
      <w:r>
        <w:rPr>
          <w:rFonts w:hint="eastAsia" w:ascii="仿宋_GB2312" w:eastAsia="仿宋_GB2312"/>
          <w:color w:val="000000"/>
          <w:sz w:val="32"/>
          <w:szCs w:val="32"/>
          <w:shd w:val="clear" w:color="auto" w:fill="FFFFFF"/>
        </w:rPr>
        <w:t>、教务员</w:t>
      </w:r>
      <w:r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、辅导员</w:t>
      </w:r>
    </w:p>
    <w:p>
      <w:pPr>
        <w:spacing w:line="560" w:lineRule="exact"/>
        <w:ind w:firstLine="640" w:firstLineChars="200"/>
        <w:rPr>
          <w:rFonts w:ascii="仿宋_GB2312" w:eastAsia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楷体_GB2312" w:eastAsia="楷体_GB2312"/>
          <w:sz w:val="32"/>
          <w:szCs w:val="32"/>
        </w:rPr>
        <w:t xml:space="preserve">第二十条 </w:t>
      </w:r>
      <w:r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每年新生开学前更新导师库，</w:t>
      </w:r>
      <w:r>
        <w:rPr>
          <w:rFonts w:hint="eastAsia" w:ascii="仿宋_GB2312" w:eastAsia="仿宋_GB2312"/>
          <w:color w:val="000000"/>
          <w:sz w:val="32"/>
          <w:szCs w:val="32"/>
          <w:shd w:val="clear" w:color="auto" w:fill="FFFFFF"/>
        </w:rPr>
        <w:t>对</w:t>
      </w:r>
      <w:r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导师实行动态</w:t>
      </w:r>
      <w:r>
        <w:rPr>
          <w:rFonts w:hint="eastAsia" w:ascii="仿宋_GB2312" w:eastAsia="仿宋_GB2312"/>
          <w:color w:val="000000"/>
          <w:sz w:val="32"/>
          <w:szCs w:val="32"/>
          <w:shd w:val="clear" w:color="auto" w:fill="FFFFFF"/>
        </w:rPr>
        <w:t>调整</w:t>
      </w:r>
      <w:r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机制。不能履行导师职责的教师，</w:t>
      </w:r>
      <w:r>
        <w:rPr>
          <w:rFonts w:hint="eastAsia" w:ascii="仿宋_GB2312" w:eastAsia="仿宋_GB2312"/>
          <w:color w:val="000000"/>
          <w:sz w:val="32"/>
          <w:szCs w:val="32"/>
          <w:shd w:val="clear" w:color="auto" w:fill="FFFFFF"/>
        </w:rPr>
        <w:t>两</w:t>
      </w:r>
      <w:r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年内不</w:t>
      </w:r>
      <w:r>
        <w:rPr>
          <w:rFonts w:hint="eastAsia" w:ascii="仿宋_GB2312" w:eastAsia="仿宋_GB2312"/>
          <w:color w:val="000000"/>
          <w:sz w:val="32"/>
          <w:szCs w:val="32"/>
          <w:shd w:val="clear" w:color="auto" w:fill="FFFFFF"/>
        </w:rPr>
        <w:t>纳入</w:t>
      </w:r>
      <w:r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导师库。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 xml:space="preserve">第二十一条 </w:t>
      </w:r>
      <w:r>
        <w:rPr>
          <w:rFonts w:ascii="仿宋_GB2312" w:eastAsia="仿宋_GB2312"/>
          <w:sz w:val="32"/>
          <w:szCs w:val="32"/>
        </w:rPr>
        <w:t>每学期定期召开导师工作会议，有计划地组织导师</w:t>
      </w:r>
      <w:r>
        <w:rPr>
          <w:rFonts w:hint="eastAsia" w:ascii="仿宋_GB2312" w:eastAsia="仿宋_GB2312"/>
          <w:sz w:val="32"/>
          <w:szCs w:val="32"/>
        </w:rPr>
        <w:t>进行</w:t>
      </w:r>
      <w:r>
        <w:rPr>
          <w:rFonts w:ascii="仿宋_GB2312" w:eastAsia="仿宋_GB2312"/>
          <w:sz w:val="32"/>
          <w:szCs w:val="32"/>
        </w:rPr>
        <w:t>培训、交流</w:t>
      </w:r>
      <w:r>
        <w:rPr>
          <w:rFonts w:hint="eastAsia" w:ascii="仿宋_GB2312" w:eastAsia="仿宋_GB2312"/>
          <w:sz w:val="32"/>
          <w:szCs w:val="32"/>
        </w:rPr>
        <w:t>和</w:t>
      </w:r>
      <w:r>
        <w:rPr>
          <w:rFonts w:ascii="仿宋_GB2312" w:eastAsia="仿宋_GB2312"/>
          <w:sz w:val="32"/>
          <w:szCs w:val="32"/>
        </w:rPr>
        <w:t>研讨</w:t>
      </w:r>
      <w:r>
        <w:rPr>
          <w:rFonts w:hint="eastAsia" w:ascii="仿宋_GB2312" w:eastAsia="仿宋_GB2312"/>
          <w:sz w:val="32"/>
          <w:szCs w:val="32"/>
        </w:rPr>
        <w:t>等活动</w:t>
      </w:r>
      <w:r>
        <w:rPr>
          <w:rFonts w:ascii="仿宋_GB2312" w:eastAsia="仿宋_GB2312"/>
          <w:sz w:val="32"/>
          <w:szCs w:val="32"/>
        </w:rPr>
        <w:t>，提升导师工作能力与</w:t>
      </w:r>
      <w:r>
        <w:rPr>
          <w:rFonts w:hint="eastAsia" w:ascii="仿宋_GB2312" w:eastAsia="仿宋_GB2312"/>
          <w:sz w:val="32"/>
          <w:szCs w:val="32"/>
        </w:rPr>
        <w:t>成效</w:t>
      </w:r>
      <w:r>
        <w:rPr>
          <w:rFonts w:ascii="仿宋_GB2312" w:eastAsia="仿宋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eastAsia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楷体_GB2312" w:eastAsia="楷体_GB2312"/>
          <w:sz w:val="32"/>
          <w:szCs w:val="32"/>
        </w:rPr>
        <w:t xml:space="preserve">第二十二条 </w:t>
      </w:r>
      <w:r>
        <w:rPr>
          <w:rFonts w:hint="eastAsia" w:ascii="仿宋_GB2312" w:eastAsia="仿宋_GB2312"/>
          <w:color w:val="000000"/>
          <w:sz w:val="32"/>
          <w:szCs w:val="32"/>
          <w:shd w:val="clear" w:color="auto" w:fill="FFFFFF"/>
        </w:rPr>
        <w:t>本科生导师工作考核纳入教师考核和</w:t>
      </w:r>
      <w:r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年度工作考核</w:t>
      </w:r>
      <w:r>
        <w:rPr>
          <w:rFonts w:hint="eastAsia" w:ascii="仿宋_GB2312" w:eastAsia="仿宋_GB2312"/>
          <w:color w:val="000000"/>
          <w:sz w:val="32"/>
          <w:szCs w:val="32"/>
          <w:shd w:val="clear" w:color="auto" w:fill="FFFFFF"/>
        </w:rPr>
        <w:t>范畴。学院</w:t>
      </w:r>
      <w:r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每学年组织</w:t>
      </w:r>
      <w:r>
        <w:rPr>
          <w:rFonts w:hint="eastAsia" w:ascii="仿宋_GB2312" w:eastAsia="仿宋_GB2312"/>
          <w:color w:val="000000"/>
          <w:sz w:val="32"/>
          <w:szCs w:val="32"/>
          <w:shd w:val="clear" w:color="auto" w:fill="FFFFFF"/>
        </w:rPr>
        <w:t>一次“</w:t>
      </w:r>
      <w:r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植物保护学院优秀本科生导师</w:t>
      </w:r>
      <w:r>
        <w:rPr>
          <w:rFonts w:hint="eastAsia" w:ascii="仿宋_GB2312" w:eastAsia="仿宋_GB2312"/>
          <w:color w:val="000000"/>
          <w:sz w:val="32"/>
          <w:szCs w:val="32"/>
          <w:shd w:val="clear" w:color="auto" w:fill="FFFFFF"/>
        </w:rPr>
        <w:t>”评选，评优</w:t>
      </w:r>
      <w:r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占比不超过全院导师</w:t>
      </w:r>
      <w:r>
        <w:rPr>
          <w:rFonts w:hint="eastAsia" w:ascii="仿宋_GB2312" w:eastAsia="仿宋_GB2312"/>
          <w:color w:val="000000"/>
          <w:sz w:val="32"/>
          <w:szCs w:val="32"/>
          <w:shd w:val="clear" w:color="auto" w:fill="FFFFFF"/>
        </w:rPr>
        <w:t>的</w:t>
      </w:r>
      <w:r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10%，</w:t>
      </w:r>
      <w:r>
        <w:rPr>
          <w:rFonts w:hint="eastAsia" w:ascii="仿宋_GB2312" w:eastAsia="仿宋_GB2312"/>
          <w:color w:val="000000"/>
          <w:sz w:val="32"/>
          <w:szCs w:val="32"/>
          <w:shd w:val="clear" w:color="auto" w:fill="FFFFFF"/>
        </w:rPr>
        <w:t>学院</w:t>
      </w:r>
      <w:r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授予</w:t>
      </w:r>
      <w:r>
        <w:rPr>
          <w:rFonts w:hint="eastAsia" w:ascii="仿宋_GB2312" w:eastAsia="仿宋_GB2312"/>
          <w:color w:val="000000"/>
          <w:sz w:val="32"/>
          <w:szCs w:val="32"/>
          <w:shd w:val="clear" w:color="auto" w:fill="FFFFFF"/>
        </w:rPr>
        <w:t>“</w:t>
      </w:r>
      <w:r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植物保护学院优秀本科生导师</w:t>
      </w:r>
      <w:r>
        <w:rPr>
          <w:rFonts w:hint="eastAsia" w:ascii="仿宋_GB2312" w:eastAsia="仿宋_GB2312"/>
          <w:color w:val="000000"/>
          <w:sz w:val="32"/>
          <w:szCs w:val="32"/>
          <w:shd w:val="clear" w:color="auto" w:fill="FFFFFF"/>
        </w:rPr>
        <w:t>”</w:t>
      </w:r>
      <w:r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荣誉称号并颁发证书</w:t>
      </w:r>
      <w:r>
        <w:rPr>
          <w:rFonts w:hint="eastAsia" w:ascii="仿宋_GB2312" w:eastAsia="仿宋_GB2312"/>
          <w:color w:val="000000"/>
          <w:sz w:val="32"/>
          <w:szCs w:val="32"/>
          <w:shd w:val="clear" w:color="auto" w:fill="FFFFFF"/>
        </w:rPr>
        <w:t>。</w:t>
      </w:r>
      <w:r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 xml:space="preserve"> </w:t>
      </w:r>
    </w:p>
    <w:p>
      <w:pPr>
        <w:spacing w:line="560" w:lineRule="exact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第七章</w:t>
      </w:r>
      <w:r>
        <w:rPr>
          <w:rFonts w:ascii="黑体" w:hAnsi="黑体" w:eastAsia="黑体"/>
          <w:sz w:val="32"/>
          <w:szCs w:val="32"/>
        </w:rPr>
        <w:t xml:space="preserve"> 导师</w:t>
      </w:r>
      <w:r>
        <w:rPr>
          <w:rFonts w:hint="eastAsia" w:ascii="黑体" w:hAnsi="黑体" w:eastAsia="黑体"/>
          <w:sz w:val="32"/>
          <w:szCs w:val="32"/>
        </w:rPr>
        <w:t>保障与</w:t>
      </w:r>
      <w:r>
        <w:rPr>
          <w:rFonts w:ascii="黑体" w:hAnsi="黑体" w:eastAsia="黑体"/>
          <w:sz w:val="32"/>
          <w:szCs w:val="32"/>
        </w:rPr>
        <w:t>激励</w:t>
      </w:r>
    </w:p>
    <w:p>
      <w:pPr>
        <w:spacing w:line="560" w:lineRule="exact"/>
        <w:ind w:firstLine="640" w:firstLineChars="200"/>
        <w:rPr>
          <w:rFonts w:ascii="仿宋_GB2312" w:eastAsia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楷体_GB2312" w:eastAsia="楷体_GB2312"/>
          <w:sz w:val="32"/>
          <w:szCs w:val="32"/>
        </w:rPr>
        <w:t xml:space="preserve">第二十三条 </w:t>
      </w:r>
      <w:r>
        <w:rPr>
          <w:rFonts w:hint="eastAsia" w:ascii="仿宋_GB2312" w:eastAsia="仿宋_GB2312"/>
          <w:color w:val="000000"/>
          <w:sz w:val="32"/>
          <w:szCs w:val="32"/>
          <w:shd w:val="clear" w:color="auto" w:fill="FFFFFF"/>
        </w:rPr>
        <w:t>同等</w:t>
      </w:r>
      <w:r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条件下，</w:t>
      </w:r>
      <w:r>
        <w:rPr>
          <w:rFonts w:hint="eastAsia" w:ascii="仿宋_GB2312" w:eastAsia="仿宋_GB2312"/>
          <w:color w:val="000000"/>
          <w:sz w:val="32"/>
          <w:szCs w:val="32"/>
          <w:shd w:val="clear" w:color="auto" w:fill="FFFFFF"/>
        </w:rPr>
        <w:t>“</w:t>
      </w:r>
      <w:r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植物保护学院优秀本科生导师</w:t>
      </w:r>
      <w:r>
        <w:rPr>
          <w:rFonts w:hint="eastAsia" w:ascii="仿宋_GB2312" w:eastAsia="仿宋_GB2312"/>
          <w:color w:val="000000"/>
          <w:sz w:val="32"/>
          <w:szCs w:val="32"/>
          <w:shd w:val="clear" w:color="auto" w:fill="FFFFFF"/>
        </w:rPr>
        <w:t>”</w:t>
      </w:r>
      <w:r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在评</w:t>
      </w:r>
      <w:r>
        <w:rPr>
          <w:rFonts w:hint="eastAsia" w:ascii="仿宋_GB2312" w:eastAsia="仿宋_GB2312"/>
          <w:color w:val="000000"/>
          <w:sz w:val="32"/>
          <w:szCs w:val="32"/>
          <w:shd w:val="clear" w:color="auto" w:fill="FFFFFF"/>
        </w:rPr>
        <w:t>先</w:t>
      </w:r>
      <w:r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评优中重点考虑。</w:t>
      </w:r>
    </w:p>
    <w:p>
      <w:pPr>
        <w:spacing w:line="560" w:lineRule="exact"/>
        <w:ind w:firstLine="640" w:firstLineChars="200"/>
        <w:rPr>
          <w:rFonts w:ascii="仿宋_GB2312" w:eastAsia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楷体_GB2312" w:eastAsia="楷体_GB2312"/>
          <w:sz w:val="32"/>
          <w:szCs w:val="32"/>
        </w:rPr>
        <w:t xml:space="preserve">第二十四条 </w:t>
      </w:r>
      <w:r>
        <w:rPr>
          <w:rFonts w:hint="eastAsia" w:ascii="仿宋_GB2312" w:eastAsia="仿宋_GB2312"/>
          <w:color w:val="000000"/>
          <w:sz w:val="32"/>
          <w:szCs w:val="32"/>
          <w:shd w:val="clear" w:color="auto" w:fill="FFFFFF"/>
        </w:rPr>
        <w:t>导师工作量纳入学院奖励性</w:t>
      </w:r>
      <w:r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绩效工资分配方案，</w:t>
      </w:r>
      <w:r>
        <w:rPr>
          <w:rFonts w:hint="eastAsia" w:ascii="仿宋_GB2312" w:eastAsia="仿宋_GB2312"/>
          <w:color w:val="000000"/>
          <w:sz w:val="32"/>
          <w:szCs w:val="32"/>
          <w:shd w:val="clear" w:color="auto" w:fill="FFFFFF"/>
        </w:rPr>
        <w:t>学院另外</w:t>
      </w:r>
      <w:r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对</w:t>
      </w:r>
      <w:r>
        <w:rPr>
          <w:rFonts w:hint="eastAsia" w:ascii="仿宋_GB2312" w:eastAsia="仿宋_GB2312"/>
          <w:color w:val="000000"/>
          <w:sz w:val="32"/>
          <w:szCs w:val="32"/>
          <w:shd w:val="clear" w:color="auto" w:fill="FFFFFF"/>
        </w:rPr>
        <w:t>获评“</w:t>
      </w:r>
      <w:r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植物保护学院优秀本科生导师</w:t>
      </w:r>
      <w:r>
        <w:rPr>
          <w:rFonts w:hint="eastAsia" w:ascii="仿宋_GB2312" w:eastAsia="仿宋_GB2312"/>
          <w:color w:val="000000"/>
          <w:sz w:val="32"/>
          <w:szCs w:val="32"/>
          <w:shd w:val="clear" w:color="auto" w:fill="FFFFFF"/>
        </w:rPr>
        <w:t>”的予以奖励</w:t>
      </w:r>
      <w:r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。</w:t>
      </w:r>
      <w:r>
        <w:rPr>
          <w:rFonts w:hint="eastAsia" w:ascii="仿宋_GB2312" w:eastAsia="仿宋_GB2312"/>
          <w:color w:val="000000"/>
          <w:sz w:val="32"/>
          <w:szCs w:val="32"/>
          <w:shd w:val="clear" w:color="auto" w:fill="FFFFFF"/>
        </w:rPr>
        <w:t>每年</w:t>
      </w:r>
      <w:r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工作量核定和</w:t>
      </w:r>
      <w:r>
        <w:rPr>
          <w:rFonts w:hint="eastAsia" w:ascii="仿宋_GB2312" w:eastAsia="仿宋_GB2312"/>
          <w:color w:val="000000"/>
          <w:sz w:val="32"/>
          <w:szCs w:val="32"/>
          <w:shd w:val="clear" w:color="auto" w:fill="FFFFFF"/>
        </w:rPr>
        <w:t>奖励</w:t>
      </w:r>
      <w:r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标准</w:t>
      </w:r>
      <w:r>
        <w:rPr>
          <w:rFonts w:hint="eastAsia" w:ascii="仿宋_GB2312" w:eastAsia="仿宋_GB2312"/>
          <w:color w:val="000000"/>
          <w:sz w:val="32"/>
          <w:szCs w:val="32"/>
          <w:shd w:val="clear" w:color="auto" w:fill="FFFFFF"/>
        </w:rPr>
        <w:t>由</w:t>
      </w:r>
      <w:r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学院党政联席会</w:t>
      </w:r>
      <w:r>
        <w:rPr>
          <w:rFonts w:hint="eastAsia" w:ascii="仿宋_GB2312" w:eastAsia="仿宋_GB2312"/>
          <w:color w:val="000000"/>
          <w:sz w:val="32"/>
          <w:szCs w:val="32"/>
          <w:shd w:val="clear" w:color="auto" w:fill="FFFFFF"/>
        </w:rPr>
        <w:t>讨论</w:t>
      </w:r>
      <w:r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决定。</w:t>
      </w:r>
    </w:p>
    <w:p>
      <w:pPr>
        <w:spacing w:line="560" w:lineRule="exact"/>
        <w:ind w:firstLine="640"/>
        <w:rPr>
          <w:rFonts w:ascii="仿宋_GB2312" w:eastAsia="仿宋_GB2312"/>
          <w:bCs/>
          <w:kern w:val="0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 xml:space="preserve">第二十五条 </w:t>
      </w:r>
      <w:r>
        <w:rPr>
          <w:rFonts w:hint="eastAsia" w:ascii="仿宋_GB2312" w:eastAsia="仿宋_GB2312"/>
          <w:color w:val="000000"/>
          <w:sz w:val="32"/>
          <w:szCs w:val="32"/>
          <w:shd w:val="clear" w:color="auto" w:fill="FFFFFF"/>
        </w:rPr>
        <w:t>学院</w:t>
      </w:r>
      <w:r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每年通过教师节等</w:t>
      </w:r>
      <w:r>
        <w:rPr>
          <w:rFonts w:hint="eastAsia" w:ascii="仿宋_GB2312" w:eastAsia="仿宋_GB2312"/>
          <w:color w:val="000000"/>
          <w:sz w:val="32"/>
          <w:szCs w:val="32"/>
          <w:shd w:val="clear" w:color="auto" w:fill="FFFFFF"/>
        </w:rPr>
        <w:t>形式，对“</w:t>
      </w:r>
      <w:r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植物保护学院优秀本科生导师</w:t>
      </w:r>
      <w:r>
        <w:rPr>
          <w:rFonts w:hint="eastAsia" w:ascii="仿宋_GB2312" w:eastAsia="仿宋_GB2312"/>
          <w:color w:val="000000"/>
          <w:sz w:val="32"/>
          <w:szCs w:val="32"/>
          <w:shd w:val="clear" w:color="auto" w:fill="FFFFFF"/>
        </w:rPr>
        <w:t>”进行</w:t>
      </w:r>
      <w:r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表彰。</w:t>
      </w:r>
      <w:r>
        <w:rPr>
          <w:rFonts w:hint="eastAsia" w:ascii="仿宋_GB2312" w:eastAsia="仿宋_GB2312"/>
          <w:color w:val="000000"/>
          <w:sz w:val="32"/>
          <w:szCs w:val="32"/>
          <w:shd w:val="clear" w:color="auto" w:fill="FFFFFF"/>
        </w:rPr>
        <w:t>学</w:t>
      </w:r>
      <w:r>
        <w:rPr>
          <w:rFonts w:hint="eastAsia" w:ascii="仿宋_GB2312" w:eastAsia="仿宋_GB2312"/>
          <w:bCs/>
          <w:kern w:val="0"/>
          <w:sz w:val="32"/>
          <w:szCs w:val="32"/>
        </w:rPr>
        <w:t>院加大优秀</w:t>
      </w:r>
      <w:r>
        <w:rPr>
          <w:rFonts w:hint="eastAsia" w:ascii="仿宋_GB2312" w:eastAsia="仿宋_GB2312"/>
          <w:color w:val="000000"/>
          <w:sz w:val="32"/>
          <w:szCs w:val="32"/>
          <w:shd w:val="clear" w:color="auto" w:fill="FFFFFF"/>
        </w:rPr>
        <w:t>导师</w:t>
      </w:r>
      <w:r>
        <w:rPr>
          <w:rFonts w:hint="eastAsia" w:ascii="仿宋_GB2312" w:eastAsia="仿宋_GB2312"/>
          <w:bCs/>
          <w:kern w:val="0"/>
          <w:sz w:val="32"/>
          <w:szCs w:val="32"/>
        </w:rPr>
        <w:t>先进事迹的宣传和报道，</w:t>
      </w:r>
      <w:r>
        <w:rPr>
          <w:rFonts w:ascii="仿宋_GB2312" w:eastAsia="仿宋_GB2312"/>
          <w:bCs/>
          <w:kern w:val="0"/>
          <w:sz w:val="32"/>
          <w:szCs w:val="32"/>
        </w:rPr>
        <w:t>营造</w:t>
      </w:r>
      <w:r>
        <w:rPr>
          <w:rFonts w:hint="eastAsia" w:ascii="仿宋_GB2312" w:eastAsia="仿宋_GB2312"/>
          <w:bCs/>
          <w:kern w:val="0"/>
          <w:sz w:val="32"/>
          <w:szCs w:val="32"/>
        </w:rPr>
        <w:t>全员</w:t>
      </w:r>
      <w:r>
        <w:rPr>
          <w:rFonts w:ascii="仿宋_GB2312" w:eastAsia="仿宋_GB2312"/>
          <w:bCs/>
          <w:kern w:val="0"/>
          <w:sz w:val="32"/>
          <w:szCs w:val="32"/>
        </w:rPr>
        <w:t>育人氛围</w:t>
      </w:r>
      <w:r>
        <w:rPr>
          <w:rFonts w:hint="eastAsia" w:ascii="仿宋_GB2312" w:eastAsia="仿宋_GB2312"/>
          <w:bCs/>
          <w:kern w:val="0"/>
          <w:sz w:val="32"/>
          <w:szCs w:val="32"/>
        </w:rPr>
        <w:t>。</w:t>
      </w:r>
    </w:p>
    <w:p>
      <w:pPr>
        <w:spacing w:line="560" w:lineRule="exact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第八章 附则</w:t>
      </w:r>
    </w:p>
    <w:p>
      <w:pPr>
        <w:spacing w:line="560" w:lineRule="exact"/>
        <w:ind w:firstLine="640" w:firstLineChars="200"/>
        <w:rPr>
          <w:rFonts w:ascii="仿宋_GB2312" w:eastAsia="仿宋_GB2312"/>
          <w:color w:val="000000"/>
          <w:sz w:val="32"/>
          <w:szCs w:val="32"/>
          <w:shd w:val="clear" w:color="auto" w:fill="FFFFFF"/>
        </w:rPr>
      </w:pPr>
      <w:r>
        <w:rPr>
          <w:rFonts w:ascii="楷体_GB2312" w:eastAsia="楷体_GB2312"/>
          <w:sz w:val="32"/>
          <w:szCs w:val="32"/>
        </w:rPr>
        <w:t>第二十</w:t>
      </w:r>
      <w:r>
        <w:rPr>
          <w:rFonts w:hint="eastAsia" w:ascii="楷体_GB2312" w:eastAsia="楷体_GB2312"/>
          <w:sz w:val="32"/>
          <w:szCs w:val="32"/>
        </w:rPr>
        <w:t>六</w:t>
      </w:r>
      <w:r>
        <w:rPr>
          <w:rFonts w:ascii="楷体_GB2312" w:eastAsia="楷体_GB2312"/>
          <w:sz w:val="32"/>
          <w:szCs w:val="32"/>
        </w:rPr>
        <w:t>条</w:t>
      </w:r>
      <w:r>
        <w:rPr>
          <w:rFonts w:hint="eastAsia" w:ascii="楷体_GB2312" w:eastAsia="楷体_GB2312"/>
          <w:sz w:val="32"/>
          <w:szCs w:val="32"/>
        </w:rPr>
        <w:t xml:space="preserve"> </w:t>
      </w:r>
      <w:r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本</w:t>
      </w:r>
      <w:r>
        <w:rPr>
          <w:rFonts w:hint="eastAsia" w:ascii="仿宋_GB2312" w:eastAsia="仿宋_GB2312"/>
          <w:color w:val="000000"/>
          <w:sz w:val="32"/>
          <w:szCs w:val="32"/>
          <w:shd w:val="clear" w:color="auto" w:fill="FFFFFF"/>
        </w:rPr>
        <w:t>细则</w:t>
      </w:r>
      <w:r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由</w:t>
      </w:r>
      <w:r>
        <w:rPr>
          <w:rFonts w:hint="eastAsia" w:ascii="仿宋_GB2312" w:eastAsia="仿宋_GB2312"/>
          <w:color w:val="000000"/>
          <w:sz w:val="32"/>
          <w:szCs w:val="32"/>
          <w:shd w:val="clear" w:color="auto" w:fill="FFFFFF"/>
        </w:rPr>
        <w:t>植物保护学院</w:t>
      </w:r>
      <w:r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负责解释。</w:t>
      </w:r>
    </w:p>
    <w:p>
      <w:pPr>
        <w:spacing w:line="560" w:lineRule="exact"/>
        <w:ind w:firstLine="640" w:firstLineChars="200"/>
        <w:rPr>
          <w:rFonts w:ascii="仿宋_GB2312" w:eastAsia="仿宋_GB2312"/>
          <w:color w:val="000000"/>
          <w:sz w:val="32"/>
          <w:szCs w:val="32"/>
          <w:shd w:val="clear" w:color="auto" w:fill="FFFFFF"/>
        </w:rPr>
      </w:pPr>
      <w:r>
        <w:rPr>
          <w:rFonts w:ascii="楷体_GB2312" w:eastAsia="楷体_GB2312"/>
          <w:sz w:val="32"/>
          <w:szCs w:val="32"/>
        </w:rPr>
        <w:t>第二十</w:t>
      </w:r>
      <w:r>
        <w:rPr>
          <w:rFonts w:hint="eastAsia" w:ascii="楷体_GB2312" w:eastAsia="楷体_GB2312"/>
          <w:sz w:val="32"/>
          <w:szCs w:val="32"/>
        </w:rPr>
        <w:t>七</w:t>
      </w:r>
      <w:r>
        <w:rPr>
          <w:rFonts w:ascii="楷体_GB2312" w:eastAsia="楷体_GB2312"/>
          <w:sz w:val="32"/>
          <w:szCs w:val="32"/>
        </w:rPr>
        <w:t>条</w:t>
      </w:r>
      <w:r>
        <w:rPr>
          <w:rFonts w:hint="eastAsia" w:ascii="楷体_GB2312" w:eastAsia="楷体_GB2312"/>
          <w:sz w:val="32"/>
          <w:szCs w:val="32"/>
        </w:rPr>
        <w:t xml:space="preserve"> </w:t>
      </w:r>
      <w:r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导师制从2021级</w:t>
      </w:r>
      <w:r>
        <w:rPr>
          <w:rFonts w:hint="eastAsia" w:ascii="仿宋_GB2312" w:eastAsia="仿宋_GB2312"/>
          <w:color w:val="000000"/>
          <w:sz w:val="32"/>
          <w:szCs w:val="32"/>
          <w:shd w:val="clear" w:color="auto" w:fill="FFFFFF"/>
        </w:rPr>
        <w:t>本科</w:t>
      </w:r>
      <w:r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学生</w:t>
      </w:r>
      <w:r>
        <w:rPr>
          <w:rFonts w:hint="eastAsia" w:ascii="仿宋_GB2312" w:eastAsia="仿宋_GB2312"/>
          <w:color w:val="000000"/>
          <w:sz w:val="32"/>
          <w:szCs w:val="32"/>
          <w:shd w:val="clear" w:color="auto" w:fill="FFFFFF"/>
        </w:rPr>
        <w:t>中</w:t>
      </w:r>
      <w:r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开始实施。</w:t>
      </w:r>
    </w:p>
    <w:p>
      <w:pPr>
        <w:spacing w:line="560" w:lineRule="exact"/>
      </w:pPr>
    </w:p>
    <w:p>
      <w:pPr>
        <w:spacing w:line="560" w:lineRule="exac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D58ECE7-CAB6-48A9-AD5F-1D2ADE73193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  <w:embedRegular r:id="rId2" w:fontKey="{E3977507-0386-4C73-9A4C-319A6B3831BA}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E9BB43BB-C595-48E6-80A6-ECB82F6D8989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7C7B77E3-899E-42D3-BA52-15E667B78E5D}"/>
  </w:font>
  <w:font w:name="å¯°î†¿è’‹é—†å‘´ç²¦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  <w:embedRegular r:id="rId5" w:fontKey="{753C5614-E181-44FC-8B9E-2FEB6D26AC82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6" w:fontKey="{0C363AA8-C8BB-46F5-AE07-7B2C8EFA7CF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BFA"/>
    <w:rsid w:val="000965B0"/>
    <w:rsid w:val="000B3ED9"/>
    <w:rsid w:val="0012458C"/>
    <w:rsid w:val="00132308"/>
    <w:rsid w:val="0014489C"/>
    <w:rsid w:val="001A4711"/>
    <w:rsid w:val="001F189A"/>
    <w:rsid w:val="001F28F1"/>
    <w:rsid w:val="0020008D"/>
    <w:rsid w:val="00202D1C"/>
    <w:rsid w:val="00243673"/>
    <w:rsid w:val="00245FE0"/>
    <w:rsid w:val="00273A83"/>
    <w:rsid w:val="00276317"/>
    <w:rsid w:val="002C717C"/>
    <w:rsid w:val="002F7623"/>
    <w:rsid w:val="0030693C"/>
    <w:rsid w:val="00342086"/>
    <w:rsid w:val="00347BFA"/>
    <w:rsid w:val="00351707"/>
    <w:rsid w:val="003606E3"/>
    <w:rsid w:val="0039110B"/>
    <w:rsid w:val="003E154E"/>
    <w:rsid w:val="003E2FB1"/>
    <w:rsid w:val="003E6F30"/>
    <w:rsid w:val="003E7BFC"/>
    <w:rsid w:val="00432FFE"/>
    <w:rsid w:val="00456B60"/>
    <w:rsid w:val="00470DA8"/>
    <w:rsid w:val="00483342"/>
    <w:rsid w:val="00494822"/>
    <w:rsid w:val="00494BDE"/>
    <w:rsid w:val="004B43B6"/>
    <w:rsid w:val="00512684"/>
    <w:rsid w:val="00531BA8"/>
    <w:rsid w:val="00544DEA"/>
    <w:rsid w:val="00560A55"/>
    <w:rsid w:val="005618B3"/>
    <w:rsid w:val="0057534F"/>
    <w:rsid w:val="00636FAD"/>
    <w:rsid w:val="00640A35"/>
    <w:rsid w:val="00641B82"/>
    <w:rsid w:val="006452CF"/>
    <w:rsid w:val="0064544D"/>
    <w:rsid w:val="00666BC1"/>
    <w:rsid w:val="00675E96"/>
    <w:rsid w:val="006C6C68"/>
    <w:rsid w:val="0070312B"/>
    <w:rsid w:val="007129FE"/>
    <w:rsid w:val="00793D94"/>
    <w:rsid w:val="00795031"/>
    <w:rsid w:val="007B0C24"/>
    <w:rsid w:val="007B1F94"/>
    <w:rsid w:val="007B4B01"/>
    <w:rsid w:val="007E0B81"/>
    <w:rsid w:val="007F4264"/>
    <w:rsid w:val="008108EA"/>
    <w:rsid w:val="008646FD"/>
    <w:rsid w:val="008A5372"/>
    <w:rsid w:val="00943DE6"/>
    <w:rsid w:val="00954A98"/>
    <w:rsid w:val="00A03EA1"/>
    <w:rsid w:val="00A524E5"/>
    <w:rsid w:val="00A73762"/>
    <w:rsid w:val="00A74773"/>
    <w:rsid w:val="00A92953"/>
    <w:rsid w:val="00AB6344"/>
    <w:rsid w:val="00B21E0D"/>
    <w:rsid w:val="00B709EF"/>
    <w:rsid w:val="00B84AF5"/>
    <w:rsid w:val="00C76FAE"/>
    <w:rsid w:val="00C95CA9"/>
    <w:rsid w:val="00CA67BC"/>
    <w:rsid w:val="00CD6184"/>
    <w:rsid w:val="00CF040A"/>
    <w:rsid w:val="00CF422F"/>
    <w:rsid w:val="00CF5B35"/>
    <w:rsid w:val="00D111E1"/>
    <w:rsid w:val="00D30854"/>
    <w:rsid w:val="00D85BF4"/>
    <w:rsid w:val="00D9737F"/>
    <w:rsid w:val="00E23DF0"/>
    <w:rsid w:val="00E32B8E"/>
    <w:rsid w:val="00E6158A"/>
    <w:rsid w:val="00EB395E"/>
    <w:rsid w:val="00EB60D2"/>
    <w:rsid w:val="00EE4014"/>
    <w:rsid w:val="00EE6FE7"/>
    <w:rsid w:val="00F27F37"/>
    <w:rsid w:val="00F309F5"/>
    <w:rsid w:val="00F520AC"/>
    <w:rsid w:val="00F54828"/>
    <w:rsid w:val="00F57703"/>
    <w:rsid w:val="00F65EA0"/>
    <w:rsid w:val="00FB07FB"/>
    <w:rsid w:val="00FF771E"/>
    <w:rsid w:val="0C7F0AC9"/>
    <w:rsid w:val="315D0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kern w:val="0"/>
      <w:sz w:val="27"/>
      <w:szCs w:val="27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Emphasis"/>
    <w:basedOn w:val="7"/>
    <w:qFormat/>
    <w:uiPriority w:val="0"/>
    <w:rPr>
      <w:i/>
    </w:rPr>
  </w:style>
  <w:style w:type="character" w:styleId="10">
    <w:name w:val="Hyperlink"/>
    <w:basedOn w:val="7"/>
    <w:unhideWhenUsed/>
    <w:uiPriority w:val="99"/>
    <w:rPr>
      <w:color w:val="2440B3"/>
      <w:u w:val="none"/>
    </w:rPr>
  </w:style>
  <w:style w:type="character" w:customStyle="1" w:styleId="11">
    <w:name w:val="页眉 字符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markedcontent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326</Words>
  <Characters>1862</Characters>
  <Lines>15</Lines>
  <Paragraphs>4</Paragraphs>
  <TotalTime>3347</TotalTime>
  <ScaleCrop>false</ScaleCrop>
  <LinksUpToDate>false</LinksUpToDate>
  <CharactersWithSpaces>2184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DELL</dc:creator>
  <cp:lastModifiedBy>Reina</cp:lastModifiedBy>
  <dcterms:modified xsi:type="dcterms:W3CDTF">2022-01-10T12:59:52Z</dcterms:modified>
  <cp:revision>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F0AEF2AB4B4F4507AE319453C1EF5969</vt:lpwstr>
  </property>
</Properties>
</file>